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0286" w14:textId="77777777" w:rsidR="00407266" w:rsidRPr="000C1402" w:rsidRDefault="00000000" w:rsidP="000C1402">
      <w:pPr>
        <w:spacing w:before="360" w:line="240" w:lineRule="auto"/>
        <w:jc w:val="center"/>
        <w:rPr>
          <w:rFonts w:ascii="Calibri" w:hAnsi="Calibri" w:cs="Calibri"/>
          <w:color w:val="000000" w:themeColor="text1"/>
          <w:lang w:val="pl-PL"/>
        </w:rPr>
      </w:pPr>
      <w:r w:rsidRPr="000C1402">
        <w:rPr>
          <w:rFonts w:ascii="Calibri" w:hAnsi="Calibri" w:cs="Calibri"/>
          <w:b/>
          <w:color w:val="000000" w:themeColor="text1"/>
          <w:sz w:val="28"/>
          <w:lang w:val="pl-PL"/>
        </w:rPr>
        <w:t>OPIS PRZEDMIOTU ZAMÓWIENIA</w:t>
      </w:r>
    </w:p>
    <w:p w14:paraId="5867A5F8" w14:textId="77777777" w:rsidR="00407266" w:rsidRPr="000C1402" w:rsidRDefault="00000000" w:rsidP="000C1402">
      <w:pPr>
        <w:spacing w:line="240" w:lineRule="auto"/>
        <w:jc w:val="center"/>
        <w:rPr>
          <w:rFonts w:ascii="Calibri" w:hAnsi="Calibri" w:cs="Calibri"/>
          <w:color w:val="000000" w:themeColor="text1"/>
          <w:lang w:val="pl-PL"/>
        </w:rPr>
      </w:pPr>
      <w:r w:rsidRPr="000C1402">
        <w:rPr>
          <w:rFonts w:ascii="Calibri" w:hAnsi="Calibri" w:cs="Calibri"/>
          <w:b/>
          <w:color w:val="000000" w:themeColor="text1"/>
          <w:sz w:val="24"/>
          <w:lang w:val="pl-PL"/>
        </w:rPr>
        <w:t>Wymagania techniczne dla ciepłomierzy</w:t>
      </w:r>
    </w:p>
    <w:p w14:paraId="1B570C63" w14:textId="77777777" w:rsidR="00407266" w:rsidRPr="000C1402" w:rsidRDefault="00000000" w:rsidP="000C1402">
      <w:pPr>
        <w:pStyle w:val="Nagwek2"/>
        <w:spacing w:line="240" w:lineRule="auto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1. Wymagania ogólne dotyczące ciepłomierzy</w:t>
      </w:r>
    </w:p>
    <w:p w14:paraId="7582FE04" w14:textId="0C46BB4B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1.1. Ciepłomierze oraz ich części składowe muszą być zgodne z obowiązującymi przepisami i normami, w</w:t>
      </w:r>
      <w:r w:rsidR="00442A20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 </w:t>
      </w: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szczególności z normą PN-EN 1434, ustawą Prawo o miarach, przepisami dotyczącymi systemów oceny zgodności i nadzoru rynku, przepisami dotyczącymi wymagań dla przyrządów pomiarowych, prawną kontrolą metrologiczną przyrządów pomiarowych oraz zasadami rozliczeń z tytułu zaopatrzenia w ciepło.</w:t>
      </w:r>
    </w:p>
    <w:p w14:paraId="3D57C74E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1.2. Ciepłomierz musi posiadać konstrukcję składaną, tj. przelicznik, przetwornik przepływu i para czujników temperatury muszą stanowić rozdzielne części składowe ciepłomierza.</w:t>
      </w:r>
    </w:p>
    <w:p w14:paraId="6B85CBE2" w14:textId="1D95B7E4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1.3. Każda z części składowych ciepłomierza musi posiadać wydany przez notyfikowaną jednostkę certyfikującą certyfikat badania typu UE/WE potwierdzający przeprowadzenie procedury oceny zgodności, oznakowanie CE oraz oznakowanie metrologiczne M. Do oferty należy przedłożyć potwierdzone za zgodność kopie certyfikatów wraz z</w:t>
      </w:r>
      <w:r w:rsidR="00E4236A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 </w:t>
      </w: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tłumaczeniem na język polski.</w:t>
      </w:r>
    </w:p>
    <w:p w14:paraId="06EB810F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1.4. Data produkcji części składowych ciepłomierzy musi być z roku dostawy ciepłomierzy do Zamawiającego.</w:t>
      </w:r>
    </w:p>
    <w:p w14:paraId="13C2DBEB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1.5. Każda z części składowych ciepłomierza musi posiadać DTR i kartę katalogową, które należy załączyć do oferty.</w:t>
      </w:r>
    </w:p>
    <w:p w14:paraId="357B7414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1.6. Oferent musi posiadać serwis lub podpisaną umowę z podmiotem posiadającym uprawnienia do wykonywania zmiany impulsowania przelicznika, zmiany sposobu zabudowy (zasilanie/powrót) oraz legalizacji ponownej.</w:t>
      </w:r>
    </w:p>
    <w:p w14:paraId="5C20F576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1.7. Części składowe ciepłomierza muszą być wykonane w sposób umożliwiający nałożenie cech zabezpieczających przed zdemontowaniem, wyjęciem lub wymianą elementów bez widocznego uszkodzenia elementów ciepłomierza lub cech zabezpieczających.</w:t>
      </w:r>
    </w:p>
    <w:p w14:paraId="777593AB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1.8. Wymagana klasa warunków środowiskowych oferowanych ciepłomierzy: minimum „C”.</w:t>
      </w:r>
    </w:p>
    <w:p w14:paraId="74AF0539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1.9. Każdy ciepłomierz wraz z DTR należy dostarczyć w oddzielnym opakowaniu z oznaczeniem adresu jego montażu.</w:t>
      </w:r>
    </w:p>
    <w:p w14:paraId="79685084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1.10. Minimalny okres gwarancji wynosi 36 miesięcy, licząc od daty podpisania protokołu bezusterkowej dostawy ciepłomierzy.</w:t>
      </w:r>
    </w:p>
    <w:p w14:paraId="31E5DF0D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1.11. Zaleca się, aby czujniki temperatury pasowały do istniejących muf bez konieczności ich wymiany.</w:t>
      </w:r>
    </w:p>
    <w:p w14:paraId="5AAABC61" w14:textId="77777777" w:rsidR="00407266" w:rsidRPr="000C1402" w:rsidRDefault="00000000" w:rsidP="000C1402">
      <w:pPr>
        <w:pStyle w:val="Nagwek2"/>
        <w:spacing w:line="240" w:lineRule="auto"/>
        <w:jc w:val="both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2. Wymagania dotyczące przeliczników wskazujących</w:t>
      </w:r>
    </w:p>
    <w:p w14:paraId="6309BA17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2.1. Przelicznik musi posiadać możliwość zamocowania na ścianie lub bezpośrednio na przetworniku przepływu.</w:t>
      </w:r>
    </w:p>
    <w:p w14:paraId="0734F0EE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2.2. Zasilanie przelicznika i przetwornika przepływu musi odbywać się z tej samej wymiennej baterii o okresie eksploatacji minimum 10 lat + 1 rok rezerwy. Rok produkcji baterii musi pokrywać się z rokiem dostawy ciepłomierza.</w:t>
      </w:r>
    </w:p>
    <w:p w14:paraId="150B9582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2.3. Wymiana baterii zasilającej nie może wiązać się z koniecznością ponownej kalibracji, ponownego programowania ani legalizacji jakiejkolwiek części składowej ciepłomierza.</w:t>
      </w:r>
    </w:p>
    <w:p w14:paraId="787354CB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lastRenderedPageBreak/>
        <w:t>2.4. Zakres pomiaru temperatury: minimum 0–150°C.</w:t>
      </w:r>
    </w:p>
    <w:p w14:paraId="7B88F544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2.5. Zakres różnicy temperatur: minimum 3–130°C.</w:t>
      </w:r>
    </w:p>
    <w:p w14:paraId="503625EB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2.6. Stopień ochrony obudowy: minimum IP54.</w:t>
      </w:r>
    </w:p>
    <w:p w14:paraId="485977B8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2.7. Temperatura otoczenia pracy: co najmniej od +5°C do +55°C.</w:t>
      </w:r>
    </w:p>
    <w:p w14:paraId="2B52B565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2.8. Przelicznik musi współpracować z czujnikami temperatury Pt500.</w:t>
      </w:r>
    </w:p>
    <w:p w14:paraId="4AD80A22" w14:textId="77777777" w:rsidR="00440C21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 xml:space="preserve">2.9. </w:t>
      </w:r>
      <w:r w:rsidR="00440C21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Przelicznik musi zapewniać trwałe zachowanie wskazań rozliczeniowych, danych rejestrowych, parametrów konfiguracyjnych oraz programu pracy w pamięci nieulotnej w przypadku zaniku zasilania, odłączenia baterii lub jej wyczerpania, bez wyzerowania wskazań licznika i bez utraty danych niezbędnych do rozliczeń oraz eksploatacji urządzenia.</w:t>
      </w:r>
    </w:p>
    <w:p w14:paraId="3A6D1A45" w14:textId="3091222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2.10. Przelicznik musi być wyposażony w złącze optyczne umożliwiające komunikację z przenośnym terminalem lub głowicą do odczytu optycznego.</w:t>
      </w:r>
    </w:p>
    <w:p w14:paraId="06958F21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 xml:space="preserve">2.11. Przelicznik musi być przystosowany do rozbudowy o dodatkowe moduły komunikacyjne, co najmniej: adapter komunikacyjny współpracujący z systemem telemetrycznym Zamawiającego, moduł M-Bus, </w:t>
      </w:r>
      <w:proofErr w:type="spellStart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LonWorks</w:t>
      </w:r>
      <w:proofErr w:type="spellEnd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, RS232, RS485, moduł radiowy oraz moduł dwóch wejść impulsowych dla wodomierzy mechanicznych lub kombinację ww. modułów.</w:t>
      </w:r>
    </w:p>
    <w:p w14:paraId="32A09219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2.12. Zainstalowanie lub zmiana modułów komunikacyjnych musi odbywać się bez konieczności zerwania cech zabezpieczających, a tym samym bez konieczności ponownej legalizacji.</w:t>
      </w:r>
    </w:p>
    <w:p w14:paraId="551189E5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2.13. Przelicznik musi być wyposażony w zegar czasu rzeczywistego i kalendarz z uwzględnieniem lat przestępnych.</w:t>
      </w:r>
    </w:p>
    <w:p w14:paraId="1CE3F49B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2.14. Przelicznik musi przechowywać w pamięci dane na koniec miesiąca, w tym co najmniej: energię, objętość, moc, przepływ, temperaturę zasilania oraz dane z dodatkowych wejść impulsowych, w okresie co najmniej 12 ostatnich miesięcy.</w:t>
      </w:r>
    </w:p>
    <w:p w14:paraId="4D6EC37A" w14:textId="2D4E10D7" w:rsidR="00440C21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2.15. Przelicznik musi posiadać rejestrator danych przechowujący dane godzinowe, dobowe i miesięczne w zakresie wymaganym obowiązującymi przepisami prawa oraz niezbędnym do prowadzenia rozliczeń i odczytów przez Zamawiającego.</w:t>
      </w:r>
    </w:p>
    <w:p w14:paraId="51C1267C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2.16. Dostarczone przeliczniki muszą posiadać ustawiony aktualny czas i datę oraz interwał zapisu 1440 minut, chyba że Zamawiający wskaże inaczej.</w:t>
      </w:r>
    </w:p>
    <w:p w14:paraId="79EE4846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2.17. Zaleca się, aby przelicznik posiadał dwa galwanicznie odseparowane wejścia na adaptery komunikacyjne.</w:t>
      </w:r>
    </w:p>
    <w:p w14:paraId="54F11D2D" w14:textId="01F8B593" w:rsidR="00440C21" w:rsidRPr="000C1402" w:rsidRDefault="00440C21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2.18. Przelicznik powinien posiadać funkcję automatycznego rozpoznania lub dostosowania parametrów wejścia impulsowego do współpracującego przetwornika przepływu, o ile funkcja taka jest obsługiwana przez dany typ przetwornika.</w:t>
      </w:r>
    </w:p>
    <w:p w14:paraId="4A822884" w14:textId="1B087F0C" w:rsidR="00440C21" w:rsidRPr="000C1402" w:rsidRDefault="00440C21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2.19. Licznik ciepła musi umożliwiać zmianę konfiguracji miejsca montażu przetwornika przepływu z przewodu zasilającego na powrotny i odwrotnie, bez konieczności naruszania cech legalizacyjnych lub zabezpieczających, w zakresie dopuszczonym przez producenta, DTR i dokumenty metrologiczne urządzenia. Funkcja powinna być dostępna w okresie eksploatacji licznika, również po rozpoczęciu naliczania energii.</w:t>
      </w:r>
    </w:p>
    <w:p w14:paraId="45578E7B" w14:textId="77777777" w:rsidR="00407266" w:rsidRPr="000C1402" w:rsidRDefault="00000000" w:rsidP="000C1402">
      <w:pPr>
        <w:pStyle w:val="Nagwek2"/>
        <w:spacing w:line="240" w:lineRule="auto"/>
        <w:jc w:val="both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3. Wymagane parametry dostępne na wyświetlaczu</w:t>
      </w:r>
    </w:p>
    <w:p w14:paraId="4B01D1A2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Na wyświetlaczu przelicznika muszą być dostępne co najmniej następujące parametry:</w:t>
      </w:r>
    </w:p>
    <w:p w14:paraId="1FD42299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lastRenderedPageBreak/>
        <w:t>zużycie energii cieplnej [GJ]</w:t>
      </w:r>
    </w:p>
    <w:p w14:paraId="28400CE4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objętość wody sieciowej [m³]</w:t>
      </w:r>
    </w:p>
    <w:p w14:paraId="3C3B6158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energia cieplna na koniec miesiąca – minimum 12 miesięcy</w:t>
      </w:r>
    </w:p>
    <w:p w14:paraId="4D1230A1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objętość wody na koniec miesiąca – minimum 12 miesięcy</w:t>
      </w:r>
    </w:p>
    <w:p w14:paraId="4DE06B27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wskazania z dwóch dodatkowych wejść wodomierzowych</w:t>
      </w:r>
    </w:p>
    <w:p w14:paraId="357B88C4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przepływ chwilowy [l/h, m³/h]</w:t>
      </w:r>
    </w:p>
    <w:p w14:paraId="5F3A999F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moc chwilowa [kW, MW]</w:t>
      </w:r>
    </w:p>
    <w:p w14:paraId="66246178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moc szczytowa, przepływ szczytowy lub dobowy przyrost energii i objętości w przedziale 0–24 h wraz z datą wystąpienia</w:t>
      </w:r>
    </w:p>
    <w:p w14:paraId="1CBC2A56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chwilowe wartości temperatury zasilania, powrotu oraz różnicy temperatur [°C]</w:t>
      </w:r>
    </w:p>
    <w:p w14:paraId="79B0F4BD" w14:textId="13BC77BA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data i czas</w:t>
      </w:r>
      <w:r w:rsidR="00E4236A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,</w:t>
      </w:r>
    </w:p>
    <w:p w14:paraId="14A9EC27" w14:textId="4049E280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czas pracy urządzenia</w:t>
      </w:r>
      <w:r w:rsidR="00E4236A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,</w:t>
      </w:r>
    </w:p>
    <w:p w14:paraId="55D54073" w14:textId="62127FCD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kod błędu</w:t>
      </w:r>
      <w:r w:rsidR="000C1402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,</w:t>
      </w:r>
      <w:r w:rsidR="000C1402" w:rsidRPr="000C1402">
        <w:rPr>
          <w:lang w:val="pl-PL"/>
        </w:rPr>
        <w:t xml:space="preserve"> </w:t>
      </w:r>
      <w:r w:rsidR="000C1402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kod błędu, w tym co najmniej kody lub informacje diagnostyczne dotyczące pracy przetworników przepływu na wejściach V1 i V2, obejmujące w szczególności: brak komunikacji z przetwornikiem, niezgodność stałej impulsowania lub sygnału wejściowego, zapowietrzenie lub zabrudzenie przetwornika oraz błędny kierunek przepływu.</w:t>
      </w:r>
    </w:p>
    <w:p w14:paraId="71166307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Wszystkie powyższe parametry muszą być dostępne również poprzez kartę komunikacyjną oraz złącze optyczne.</w:t>
      </w:r>
    </w:p>
    <w:p w14:paraId="02E1E8ED" w14:textId="77777777" w:rsidR="00407266" w:rsidRPr="000C1402" w:rsidRDefault="00000000" w:rsidP="000C1402">
      <w:pPr>
        <w:pStyle w:val="Nagwek2"/>
        <w:spacing w:line="240" w:lineRule="auto"/>
        <w:jc w:val="both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4. Szczegółowe wymagania dotyczące przetworników przepływu</w:t>
      </w:r>
    </w:p>
    <w:p w14:paraId="2FB1766F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ustrój pomiarowy: ultradźwiękowy</w:t>
      </w:r>
    </w:p>
    <w:p w14:paraId="46194BDB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tolerancja błędu przetwornika przepływu: klasa 2 wg PN-EN 1434</w:t>
      </w:r>
    </w:p>
    <w:p w14:paraId="537FDEA2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 xml:space="preserve">minimalny zakres pomiaru przepływu: </w:t>
      </w:r>
      <w:proofErr w:type="spellStart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qp</w:t>
      </w:r>
      <w:proofErr w:type="spellEnd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/</w:t>
      </w:r>
      <w:proofErr w:type="spellStart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qi</w:t>
      </w:r>
      <w:proofErr w:type="spellEnd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 xml:space="preserve"> ≥ 100</w:t>
      </w:r>
    </w:p>
    <w:p w14:paraId="6B8CD107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 xml:space="preserve">przepływ maksymalny: </w:t>
      </w:r>
      <w:proofErr w:type="spellStart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qmax</w:t>
      </w:r>
      <w:proofErr w:type="spellEnd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 xml:space="preserve"> &gt; 2 × </w:t>
      </w:r>
      <w:proofErr w:type="spellStart"/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qp</w:t>
      </w:r>
      <w:proofErr w:type="spellEnd"/>
    </w:p>
    <w:p w14:paraId="143BF421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maksymalna temperatura pracy ciągłej: minimum 130°C</w:t>
      </w:r>
    </w:p>
    <w:p w14:paraId="5B114FC2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zasilanie przetwornika przepływu: z baterii zainstalowanej w przeliczniku</w:t>
      </w:r>
    </w:p>
    <w:p w14:paraId="422DA10A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pozycja pracy: pozioma i pionowa</w:t>
      </w:r>
    </w:p>
    <w:p w14:paraId="6B87D51F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długość przewodu łączącego z przelicznikiem: zgodnie z zestawieniem, minimum 2,5 m</w:t>
      </w:r>
    </w:p>
    <w:p w14:paraId="5507F3F5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ciśnienie nominalne: co najmniej PN16</w:t>
      </w:r>
    </w:p>
    <w:p w14:paraId="2D26D4D9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przepływ nominalny, miejsce montażu i rodzaj przyłącza: zgodnie z zestawieniem Zamawiającego</w:t>
      </w:r>
    </w:p>
    <w:p w14:paraId="45C05050" w14:textId="77777777" w:rsidR="00407266" w:rsidRPr="000C1402" w:rsidRDefault="00000000" w:rsidP="000C1402">
      <w:pPr>
        <w:pStyle w:val="Nagwek2"/>
        <w:spacing w:line="240" w:lineRule="auto"/>
        <w:jc w:val="both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5. Szczegółowe wymagania dotyczące par czujników temperatury</w:t>
      </w:r>
    </w:p>
    <w:p w14:paraId="7DD5F1D6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zakres pomiaru temperatury: co najmniej 0–150°C</w:t>
      </w:r>
    </w:p>
    <w:p w14:paraId="13ABAAB6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lastRenderedPageBreak/>
        <w:t>element pomiarowy: Pt500</w:t>
      </w:r>
    </w:p>
    <w:p w14:paraId="3BC0C748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średnica czujników: zgodnie z zestawieniem Zamawiającego</w:t>
      </w:r>
    </w:p>
    <w:p w14:paraId="6DA9F3B7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długość osłony: zgodnie z zestawieniem Zamawiającego</w:t>
      </w:r>
    </w:p>
    <w:p w14:paraId="2BF7962A" w14:textId="77777777" w:rsidR="00407266" w:rsidRPr="000C1402" w:rsidRDefault="00000000" w:rsidP="000C1402">
      <w:pPr>
        <w:pStyle w:val="Listapunktowana"/>
        <w:spacing w:line="240" w:lineRule="auto"/>
        <w:ind w:left="340"/>
        <w:contextualSpacing w:val="0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długość przewodów łączących z przelicznikiem: zgodnie z zestawieniem Zamawiającego</w:t>
      </w:r>
    </w:p>
    <w:p w14:paraId="54488546" w14:textId="77777777" w:rsidR="00407266" w:rsidRPr="000C1402" w:rsidRDefault="00000000" w:rsidP="000C1402">
      <w:pPr>
        <w:pStyle w:val="Nagwek2"/>
        <w:spacing w:line="240" w:lineRule="auto"/>
        <w:jc w:val="both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6. Programowanie ciepłomierzy</w:t>
      </w:r>
    </w:p>
    <w:p w14:paraId="7D2DBB39" w14:textId="58E4E11F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6.1. Oferent zobowiązany jest dostarczyć bez dodatkowych opłat oprogramowanie umożliwiające odczyt danych z</w:t>
      </w:r>
      <w:r w:rsidR="00D07B07"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 </w:t>
      </w: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rejestrów oraz programowanie poprzez złącze optyczne przy użyciu standardowego komputera PC lub notebooka oraz głowicy optycznej.</w:t>
      </w:r>
    </w:p>
    <w:p w14:paraId="5E747004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6.2. Koszt dostawy oprogramowania, niezbędnych licencji oraz dokumentacji użytkowej musi być wliczony w cenę oferty.</w:t>
      </w:r>
    </w:p>
    <w:p w14:paraId="33FA4277" w14:textId="77777777" w:rsidR="00407266" w:rsidRPr="000C1402" w:rsidRDefault="00000000" w:rsidP="000C1402">
      <w:pPr>
        <w:pStyle w:val="Nagwek2"/>
        <w:spacing w:line="240" w:lineRule="auto"/>
        <w:jc w:val="both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7. Wymagania dotyczące współpracy z systemem telemetrycznym</w:t>
      </w:r>
    </w:p>
    <w:p w14:paraId="22D4901F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7.1. Ciepłomierze muszą umożliwiać współpracę z istniejącym systemem telemetrii Zamawiającego, w szczególności poprzez zastosowanie odpowiednich modułów lub adapterów komunikacyjnych.</w:t>
      </w:r>
    </w:p>
    <w:p w14:paraId="4FA9B447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7.2. Wykonawca zobowiązany jest zapewnić zgodność parametrów komunikacyjnych, impulsowania oraz wymiany danych z systemem telemetrycznym Zamawiającego.</w:t>
      </w:r>
    </w:p>
    <w:p w14:paraId="3C75D86B" w14:textId="77777777" w:rsidR="00407266" w:rsidRPr="000C1402" w:rsidRDefault="00000000" w:rsidP="000C1402">
      <w:pPr>
        <w:pStyle w:val="Nagwek2"/>
        <w:spacing w:line="240" w:lineRule="auto"/>
        <w:jc w:val="both"/>
        <w:rPr>
          <w:rFonts w:cstheme="majorHAnsi"/>
          <w:color w:val="000000" w:themeColor="text1"/>
          <w:sz w:val="22"/>
          <w:szCs w:val="22"/>
          <w:lang w:val="pl-PL"/>
        </w:rPr>
      </w:pPr>
      <w:r w:rsidRPr="000C1402">
        <w:rPr>
          <w:rFonts w:cstheme="majorHAnsi"/>
          <w:color w:val="000000" w:themeColor="text1"/>
          <w:sz w:val="22"/>
          <w:szCs w:val="22"/>
          <w:lang w:val="pl-PL"/>
        </w:rPr>
        <w:t>8. Warunki dostawy i dokumentacja</w:t>
      </w:r>
    </w:p>
    <w:p w14:paraId="0FFC456F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8.1. Urządzenia muszą być fabrycznie nowe, kompletne, wolne od wad fizycznych i prawnych oraz gotowe do montażu i eksploatacji.</w:t>
      </w:r>
    </w:p>
    <w:p w14:paraId="5C006E84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8.2. Wykonawca dostarczy komplet dokumentacji technicznej, DTR, karty katalogowe, certyfikaty oraz dokumenty potwierdzające dopuszczenie urządzeń do stosowania zgodnie z obowiązującymi przepisami.</w:t>
      </w:r>
    </w:p>
    <w:p w14:paraId="179CAAD4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8.3. Dokumentacja musi być sporządzona w języku polskim lub posiadać tłumaczenie na język polski.</w:t>
      </w:r>
    </w:p>
    <w:p w14:paraId="70523791" w14:textId="77777777" w:rsidR="00407266" w:rsidRPr="000C1402" w:rsidRDefault="00000000" w:rsidP="000C1402">
      <w:pPr>
        <w:spacing w:line="240" w:lineRule="auto"/>
        <w:jc w:val="both"/>
        <w:rPr>
          <w:rFonts w:asciiTheme="majorHAnsi" w:hAnsiTheme="majorHAnsi" w:cstheme="majorHAnsi"/>
          <w:color w:val="000000" w:themeColor="text1"/>
          <w:sz w:val="22"/>
          <w:lang w:val="pl-PL"/>
        </w:rPr>
      </w:pPr>
      <w:r w:rsidRPr="000C1402">
        <w:rPr>
          <w:rFonts w:asciiTheme="majorHAnsi" w:hAnsiTheme="majorHAnsi" w:cstheme="majorHAnsi"/>
          <w:color w:val="000000" w:themeColor="text1"/>
          <w:sz w:val="22"/>
          <w:lang w:val="pl-PL"/>
        </w:rPr>
        <w:t>8.4. Szczegółowe ilości, średnice, przepływy nominalne, długości czujników, typy przyłączy i lokalizacje montażu określa zestawienie stanowiące załącznik do zapytania ofertowego.</w:t>
      </w:r>
    </w:p>
    <w:sectPr w:rsidR="00407266" w:rsidRPr="000C1402" w:rsidSect="00442A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30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B0E6" w14:textId="77777777" w:rsidR="007C19A3" w:rsidRDefault="007C19A3">
      <w:pPr>
        <w:spacing w:after="0" w:line="240" w:lineRule="auto"/>
      </w:pPr>
      <w:r>
        <w:separator/>
      </w:r>
    </w:p>
  </w:endnote>
  <w:endnote w:type="continuationSeparator" w:id="0">
    <w:p w14:paraId="17C09055" w14:textId="77777777" w:rsidR="007C19A3" w:rsidRDefault="007C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8195" w14:textId="77777777" w:rsidR="00CE0D6B" w:rsidRDefault="00CE0D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8946" w14:textId="31BE062E" w:rsidR="00407266" w:rsidRDefault="00000000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765F1A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B3825" w14:textId="77777777" w:rsidR="00CE0D6B" w:rsidRDefault="00CE0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0AEDE" w14:textId="77777777" w:rsidR="007C19A3" w:rsidRDefault="007C19A3">
      <w:pPr>
        <w:spacing w:after="0" w:line="240" w:lineRule="auto"/>
      </w:pPr>
      <w:r>
        <w:separator/>
      </w:r>
    </w:p>
  </w:footnote>
  <w:footnote w:type="continuationSeparator" w:id="0">
    <w:p w14:paraId="645EA11E" w14:textId="77777777" w:rsidR="007C19A3" w:rsidRDefault="007C1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79FBF" w14:textId="77777777" w:rsidR="00CE0D6B" w:rsidRDefault="00CE0D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71EC" w14:textId="77777777" w:rsidR="00CE0D6B" w:rsidRDefault="00CE0D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3EDD" w14:textId="51F5CD12" w:rsidR="00442A20" w:rsidRPr="006350C0" w:rsidRDefault="006350C0" w:rsidP="006350C0">
    <w:pPr>
      <w:pStyle w:val="Nagwek"/>
      <w:jc w:val="right"/>
      <w:rPr>
        <w:rFonts w:ascii="Calibri" w:hAnsi="Calibri" w:cs="Calibri"/>
        <w:i/>
        <w:iCs/>
        <w:sz w:val="24"/>
        <w:szCs w:val="24"/>
        <w:lang w:val="pl-PL"/>
      </w:rPr>
    </w:pPr>
    <w:r w:rsidRPr="00383433">
      <w:rPr>
        <w:rFonts w:ascii="Calibri" w:hAnsi="Calibri" w:cs="Calibri"/>
        <w:i/>
        <w:iCs/>
        <w:sz w:val="24"/>
        <w:szCs w:val="24"/>
        <w:lang w:val="pl-PL"/>
      </w:rPr>
      <w:t>Załącznik nr 1 B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7864365">
    <w:abstractNumId w:val="8"/>
  </w:num>
  <w:num w:numId="2" w16cid:durableId="552346624">
    <w:abstractNumId w:val="6"/>
  </w:num>
  <w:num w:numId="3" w16cid:durableId="1837067344">
    <w:abstractNumId w:val="5"/>
  </w:num>
  <w:num w:numId="4" w16cid:durableId="1531720808">
    <w:abstractNumId w:val="4"/>
  </w:num>
  <w:num w:numId="5" w16cid:durableId="1328747914">
    <w:abstractNumId w:val="7"/>
  </w:num>
  <w:num w:numId="6" w16cid:durableId="267007960">
    <w:abstractNumId w:val="3"/>
  </w:num>
  <w:num w:numId="7" w16cid:durableId="1810198949">
    <w:abstractNumId w:val="2"/>
  </w:num>
  <w:num w:numId="8" w16cid:durableId="1206915712">
    <w:abstractNumId w:val="1"/>
  </w:num>
  <w:num w:numId="9" w16cid:durableId="186944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1402"/>
    <w:rsid w:val="0015074B"/>
    <w:rsid w:val="0029639D"/>
    <w:rsid w:val="002A6277"/>
    <w:rsid w:val="002F26E5"/>
    <w:rsid w:val="002F2E6B"/>
    <w:rsid w:val="00326F90"/>
    <w:rsid w:val="00374DCC"/>
    <w:rsid w:val="00383433"/>
    <w:rsid w:val="00407266"/>
    <w:rsid w:val="00421D66"/>
    <w:rsid w:val="00440C21"/>
    <w:rsid w:val="00442A20"/>
    <w:rsid w:val="006350C0"/>
    <w:rsid w:val="006D40A4"/>
    <w:rsid w:val="006F00F7"/>
    <w:rsid w:val="00765F1A"/>
    <w:rsid w:val="00766E81"/>
    <w:rsid w:val="0079263B"/>
    <w:rsid w:val="007C19A3"/>
    <w:rsid w:val="008D45DC"/>
    <w:rsid w:val="0095403A"/>
    <w:rsid w:val="00AA1D8D"/>
    <w:rsid w:val="00B47730"/>
    <w:rsid w:val="00BA5D5A"/>
    <w:rsid w:val="00C34B16"/>
    <w:rsid w:val="00CB0664"/>
    <w:rsid w:val="00CE0D6B"/>
    <w:rsid w:val="00D07B07"/>
    <w:rsid w:val="00D36DF0"/>
    <w:rsid w:val="00DA51C2"/>
    <w:rsid w:val="00DC0103"/>
    <w:rsid w:val="00DD0009"/>
    <w:rsid w:val="00E0394F"/>
    <w:rsid w:val="00E423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9B0108"/>
  <w14:defaultImageDpi w14:val="300"/>
  <w15:docId w15:val="{8A340872-E7A6-4E17-B096-B0E9AA4E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1261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KwiecienM</dc:creator>
  <cp:keywords/>
  <dc:description/>
  <cp:lastModifiedBy>KozaD</cp:lastModifiedBy>
  <cp:revision>3</cp:revision>
  <dcterms:created xsi:type="dcterms:W3CDTF">2026-05-28T10:26:00Z</dcterms:created>
  <dcterms:modified xsi:type="dcterms:W3CDTF">2026-05-28T12:10:00Z</dcterms:modified>
  <cp:category/>
</cp:coreProperties>
</file>